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DB3D" w14:textId="77777777" w:rsidR="00F729F2" w:rsidRPr="00A023F4" w:rsidRDefault="00F729F2" w:rsidP="00F729F2">
      <w:pPr>
        <w:jc w:val="center"/>
        <w:rPr>
          <w:sz w:val="40"/>
          <w:szCs w:val="40"/>
          <w:lang w:val="en-GB"/>
        </w:rPr>
      </w:pPr>
      <w:r w:rsidRPr="00A023F4">
        <w:rPr>
          <w:sz w:val="40"/>
          <w:lang w:bidi="es-ES"/>
        </w:rPr>
        <w:drawing>
          <wp:inline distT="0" distB="0" distL="0" distR="0" wp14:anchorId="3E2401AB" wp14:editId="0660CDD3">
            <wp:extent cx="3491230" cy="1045413"/>
            <wp:effectExtent l="0" t="0" r="0" b="2540"/>
            <wp:docPr id="1" name="Immagine 1" descr="The EU Non-Proliferation Consortium – The EU Non-Prolifer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 Non-Proliferation Consortium – The EU Non-Proliferation Consort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2" cy="1049597"/>
                    </a:xfrm>
                    <a:prstGeom prst="rect">
                      <a:avLst/>
                    </a:prstGeom>
                    <a:noFill/>
                    <a:ln>
                      <a:noFill/>
                    </a:ln>
                  </pic:spPr>
                </pic:pic>
              </a:graphicData>
            </a:graphic>
          </wp:inline>
        </w:drawing>
      </w:r>
    </w:p>
    <w:p w14:paraId="5161A4C0" w14:textId="77777777" w:rsidR="00F729F2" w:rsidRPr="003F60D8" w:rsidRDefault="00F729F2" w:rsidP="00F729F2">
      <w:pPr>
        <w:jc w:val="center"/>
        <w:rPr>
          <w:sz w:val="40"/>
          <w:szCs w:val="40"/>
          <w:lang w:val="en-GB"/>
        </w:rPr>
      </w:pPr>
    </w:p>
    <w:p w14:paraId="29FA41AD" w14:textId="77777777" w:rsidR="00F729F2" w:rsidRPr="003F60D8" w:rsidRDefault="00F729F2" w:rsidP="00F729F2">
      <w:pPr>
        <w:spacing w:line="240" w:lineRule="auto"/>
        <w:jc w:val="center"/>
        <w:rPr>
          <w:rFonts w:ascii="Times" w:hAnsi="Times"/>
          <w:sz w:val="28"/>
          <w:szCs w:val="28"/>
          <w:lang w:val="en-GB"/>
        </w:rPr>
      </w:pPr>
      <w:r w:rsidRPr="003F60D8">
        <w:rPr>
          <w:sz w:val="28"/>
          <w:lang w:bidi="es-ES"/>
        </w:rPr>
        <w:t xml:space="preserve">Decimotercera Conferencia de la Unión Europea </w:t>
      </w:r>
    </w:p>
    <w:p w14:paraId="00B66138" w14:textId="77777777" w:rsidR="00F729F2" w:rsidRPr="003F60D8" w:rsidRDefault="00F729F2" w:rsidP="00F729F2">
      <w:pPr>
        <w:spacing w:line="240" w:lineRule="auto"/>
        <w:jc w:val="center"/>
        <w:rPr>
          <w:rFonts w:ascii="Times" w:hAnsi="Times"/>
          <w:sz w:val="28"/>
          <w:szCs w:val="28"/>
          <w:lang w:val="en-GB"/>
        </w:rPr>
      </w:pPr>
      <w:r w:rsidRPr="003F60D8">
        <w:rPr>
          <w:sz w:val="28"/>
          <w:lang w:bidi="es-ES"/>
        </w:rPr>
        <w:t xml:space="preserve">sobre la No Proliferación y el Desarme, </w:t>
      </w:r>
    </w:p>
    <w:p w14:paraId="6FBC4CE0" w14:textId="77777777" w:rsidR="00F729F2" w:rsidRPr="003F60D8" w:rsidRDefault="00F729F2" w:rsidP="00F729F2">
      <w:pPr>
        <w:spacing w:line="240" w:lineRule="auto"/>
        <w:jc w:val="center"/>
        <w:rPr>
          <w:rFonts w:ascii="Times" w:hAnsi="Times"/>
          <w:sz w:val="28"/>
          <w:szCs w:val="28"/>
          <w:lang w:val="en-GB"/>
        </w:rPr>
      </w:pPr>
      <w:r w:rsidRPr="003F60D8">
        <w:rPr>
          <w:sz w:val="28"/>
          <w:lang w:bidi="es-ES"/>
        </w:rPr>
        <w:t xml:space="preserve">12-13 de noviembre de 2024 </w:t>
      </w:r>
    </w:p>
    <w:p w14:paraId="25DE1BAC" w14:textId="77777777" w:rsidR="00F729F2" w:rsidRPr="003F60D8" w:rsidRDefault="00F729F2" w:rsidP="00F729F2">
      <w:pPr>
        <w:spacing w:line="240" w:lineRule="auto"/>
        <w:jc w:val="center"/>
        <w:rPr>
          <w:rFonts w:ascii="Times" w:hAnsi="Times"/>
          <w:i/>
          <w:iCs/>
          <w:sz w:val="28"/>
          <w:szCs w:val="28"/>
          <w:lang w:val="en-GB"/>
        </w:rPr>
      </w:pPr>
      <w:r w:rsidRPr="003F60D8">
        <w:rPr>
          <w:i/>
          <w:sz w:val="28"/>
          <w:lang w:bidi="es-ES"/>
        </w:rPr>
        <w:t xml:space="preserve">Breve informe de la conferencia </w:t>
      </w:r>
    </w:p>
    <w:p w14:paraId="54D862E2" w14:textId="77777777" w:rsidR="00F729F2" w:rsidRPr="003F60D8" w:rsidRDefault="00F729F2" w:rsidP="00F729F2">
      <w:pPr>
        <w:spacing w:line="240" w:lineRule="auto"/>
        <w:jc w:val="center"/>
        <w:rPr>
          <w:rFonts w:ascii="Times" w:hAnsi="Times"/>
          <w:i/>
          <w:iCs/>
          <w:sz w:val="28"/>
          <w:szCs w:val="28"/>
          <w:lang w:val="en-GB"/>
        </w:rPr>
      </w:pPr>
      <w:r w:rsidRPr="003F60D8">
        <w:rPr>
          <w:i/>
          <w:sz w:val="28"/>
          <w:lang w:bidi="es-ES"/>
        </w:rPr>
        <w:t xml:space="preserve">Autor: </w:t>
      </w:r>
    </w:p>
    <w:p w14:paraId="0C566A4C" w14:textId="77777777" w:rsidR="00F729F2" w:rsidRPr="003F60D8" w:rsidRDefault="00F729F2" w:rsidP="00F729F2">
      <w:pPr>
        <w:spacing w:line="240" w:lineRule="auto"/>
        <w:jc w:val="center"/>
        <w:rPr>
          <w:rFonts w:ascii="Times" w:hAnsi="Times"/>
          <w:i/>
          <w:iCs/>
          <w:sz w:val="28"/>
          <w:szCs w:val="28"/>
          <w:lang w:val="en-GB"/>
        </w:rPr>
      </w:pPr>
      <w:r w:rsidRPr="003F60D8">
        <w:rPr>
          <w:i/>
          <w:sz w:val="28"/>
          <w:lang w:bidi="es-ES"/>
        </w:rPr>
        <w:t>Manuel Herrera</w:t>
      </w:r>
      <w:r w:rsidRPr="003F60D8">
        <w:rPr>
          <w:rStyle w:val="FootnoteReference"/>
          <w:sz w:val="28"/>
          <w:lang w:bidi="es-ES"/>
        </w:rPr>
        <w:footnoteReference w:id="1"/>
      </w:r>
    </w:p>
    <w:p w14:paraId="6A389231" w14:textId="77777777" w:rsidR="00F729F2" w:rsidRPr="003F60D8" w:rsidRDefault="00F729F2" w:rsidP="00F729F2">
      <w:pPr>
        <w:jc w:val="both"/>
        <w:rPr>
          <w:sz w:val="40"/>
          <w:szCs w:val="40"/>
          <w:lang w:val="en-GB"/>
        </w:rPr>
      </w:pPr>
    </w:p>
    <w:p w14:paraId="174D3E91" w14:textId="46AAF965" w:rsidR="00F729F2" w:rsidRPr="003F60D8" w:rsidRDefault="00F729F2" w:rsidP="00F729F2">
      <w:pPr>
        <w:spacing w:line="276" w:lineRule="auto"/>
        <w:jc w:val="both"/>
        <w:rPr>
          <w:rFonts w:ascii="Times New Roman" w:hAnsi="Times New Roman" w:cs="Times New Roman"/>
          <w:sz w:val="24"/>
          <w:szCs w:val="24"/>
          <w:lang w:val="en-GB"/>
        </w:rPr>
      </w:pPr>
      <w:r w:rsidRPr="003F60D8">
        <w:rPr>
          <w:sz w:val="24"/>
          <w:lang w:bidi="es-ES"/>
        </w:rPr>
        <w:t xml:space="preserve">La Decimotercera Conferencia de la Unión Europea sobre la No Proliferación y el Desarme (EUNPDC, por sus siglas en inglés), se celebró los días 12 y 13 de noviembre de 2024, en formato híbrido, en The Hotel en Bruselas (Bélgica). La conferencia fue organizada por el Istituto Affari Internazionali (IAI) en nombre de la </w:t>
      </w:r>
      <w:hyperlink r:id="rId7" w:history="1">
        <w:r w:rsidRPr="003F60D8">
          <w:rPr>
            <w:rStyle w:val="Hyperlink"/>
            <w:sz w:val="24"/>
            <w:lang w:bidi="es-ES"/>
          </w:rPr>
          <w:t>Red de Grupos de Reflexión Independientes en la No Proliferación y el Desarme de la UE</w:t>
        </w:r>
      </w:hyperlink>
      <w:r w:rsidRPr="003F60D8">
        <w:rPr>
          <w:sz w:val="24"/>
          <w:lang w:bidi="es-ES"/>
        </w:rPr>
        <w:t xml:space="preserve">, y reunió a expertos en la no proliferación, el desarme, el control de armamentos y las armas convencionales, provenientes de instituciones públicas, organismos gubernamentales, organizaciones internacionales, grupos de reflexión independientes y la sociedad civil. Más de 600 expertos de más de 60 países – miembros de la UE, Estados asociados y terceros países – asistieron a la conferencia en persona y por internet. </w:t>
      </w:r>
    </w:p>
    <w:p w14:paraId="0965EF36" w14:textId="45494A3A" w:rsidR="00F729F2" w:rsidRPr="003F60D8" w:rsidRDefault="00F729F2" w:rsidP="00F729F2">
      <w:pPr>
        <w:spacing w:line="276" w:lineRule="auto"/>
        <w:jc w:val="both"/>
        <w:rPr>
          <w:rFonts w:ascii="Times New Roman" w:hAnsi="Times New Roman" w:cs="Times New Roman"/>
          <w:sz w:val="24"/>
          <w:szCs w:val="24"/>
          <w:lang w:val="en-GB"/>
        </w:rPr>
      </w:pPr>
      <w:r w:rsidRPr="003F60D8">
        <w:rPr>
          <w:sz w:val="24"/>
          <w:lang w:bidi="es-ES"/>
        </w:rPr>
        <w:t xml:space="preserve">La Conferencia de la UE sobre la No Proliferación y el Desarme es uno de los eventos más emblemáticos de la Red Europea de Grupos de Reflexión Independientes en la No Proliferación y el Desarme. La Red fue establecida en julio de 2010 por el Consejo de la Unión Europea, con el objetivo de proporcionar apoyo en la aplicación de la </w:t>
      </w:r>
      <w:hyperlink r:id="rId8" w:history="1">
        <w:r w:rsidRPr="003F60D8">
          <w:rPr>
            <w:rStyle w:val="Hyperlink"/>
            <w:sz w:val="24"/>
            <w:lang w:bidi="es-ES"/>
          </w:rPr>
          <w:t>Estrategia de la UE contra la Proliferación de Armas de Destrucción Masiva</w:t>
        </w:r>
      </w:hyperlink>
      <w:r w:rsidRPr="003F60D8">
        <w:rPr>
          <w:sz w:val="24"/>
          <w:lang w:bidi="es-ES"/>
        </w:rPr>
        <w:t xml:space="preserve">. La Red, que también se enfoca en la aplicación de la </w:t>
      </w:r>
      <w:hyperlink r:id="rId9" w:history="1">
        <w:r w:rsidRPr="003F60D8">
          <w:rPr>
            <w:rStyle w:val="Hyperlink"/>
            <w:sz w:val="24"/>
            <w:lang w:bidi="es-ES"/>
          </w:rPr>
          <w:t>Estrategia de la UE contra las Armas de Fuego, Armas Pequeñas y Armas Ligeras Ilícitas y su Munición</w:t>
        </w:r>
      </w:hyperlink>
      <w:r w:rsidRPr="003F60D8">
        <w:rPr>
          <w:sz w:val="24"/>
          <w:lang w:bidi="es-ES"/>
        </w:rPr>
        <w:t xml:space="preserve">, reúne a más de 110 entidades de investigación y está coordinada por un consorcio de seis institutos: La Fondation pour la recherche stratégique (FRS), el International Institute for Strategic Studies (IISS), el Istituto Affari Internazionali (IAI), el Peace Research Institute Frankfurt (HSFK - PRIF), el Stockholm International Peace Research Institute (SIPRI), y el Vienna Center for Disarmament and Non-Proliferation (VCDNP). </w:t>
      </w:r>
    </w:p>
    <w:p w14:paraId="26969661" w14:textId="60985074" w:rsidR="00F729F2" w:rsidRPr="003F60D8" w:rsidRDefault="00F729F2" w:rsidP="00F729F2">
      <w:pPr>
        <w:spacing w:line="276" w:lineRule="auto"/>
        <w:jc w:val="both"/>
        <w:rPr>
          <w:rFonts w:ascii="Times New Roman" w:hAnsi="Times New Roman" w:cs="Times New Roman"/>
          <w:sz w:val="24"/>
          <w:szCs w:val="24"/>
          <w:lang w:val="en-GB"/>
        </w:rPr>
      </w:pPr>
      <w:r w:rsidRPr="003F60D8">
        <w:rPr>
          <w:sz w:val="24"/>
          <w:lang w:bidi="es-ES"/>
        </w:rPr>
        <w:lastRenderedPageBreak/>
        <w:t xml:space="preserve">Desde 2012, la conferencia anual ha sido una de las cumbres clave en no proliferación y desarme a nivel mundial. Ha contribuido con el fomento de un debate estratégico en torno a las medidas de lucha contra la proliferación de armas de destrucción masiva (ADM) y sus vectores, así como sobre la forma de enfrentar los retos relacionados con las armas convencionales, incluyendo el tráfico ilícito y la acumulación excesiva de armas pequeñas y armas ligeras (APAL) y su munición. En la edición de 2024 se abordaron numerosos temas de gran importancia para el trabajo de la UE, en particular para el </w:t>
      </w:r>
      <w:hyperlink r:id="rId10" w:history="1">
        <w:r w:rsidRPr="003F60D8">
          <w:rPr>
            <w:rStyle w:val="Hyperlink"/>
            <w:sz w:val="24"/>
            <w:lang w:bidi="es-ES"/>
          </w:rPr>
          <w:t>Servicio Europeo de Acción Exterior (SEAE)</w:t>
        </w:r>
      </w:hyperlink>
      <w:r w:rsidRPr="003F60D8">
        <w:rPr>
          <w:sz w:val="24"/>
          <w:lang w:bidi="es-ES"/>
        </w:rPr>
        <w:t>, así como diferentes cuestiones urgentes sobre el control de armas, la no proliferación y el desarme.</w:t>
      </w:r>
    </w:p>
    <w:p w14:paraId="3E99735A" w14:textId="1B328CF7" w:rsidR="00051FE3" w:rsidRPr="003F60D8" w:rsidRDefault="00051FE3" w:rsidP="00F729F2">
      <w:pPr>
        <w:spacing w:line="276" w:lineRule="auto"/>
        <w:jc w:val="both"/>
        <w:rPr>
          <w:rFonts w:ascii="Times New Roman" w:hAnsi="Times New Roman" w:cs="Times New Roman"/>
          <w:sz w:val="24"/>
          <w:szCs w:val="24"/>
          <w:lang w:val="en-GB"/>
        </w:rPr>
      </w:pPr>
      <w:r w:rsidRPr="003F60D8">
        <w:rPr>
          <w:sz w:val="24"/>
          <w:lang w:bidi="es-ES"/>
        </w:rPr>
        <w:t>La conferencia estuvo dividida en cinco sesiones plenarias y dos ponencias magistrales, que abordaron diferentes cuestiones, tales como la arquitectura multilateral de control de armas; el desarme químico; la no proliferación y el desarme en Asia y el Pacífico; el control de armas en el espacio exterior; la proliferación de armas de destrucción masiva en Oriente Medio; los retos a los que se enfrenta el control de las armas convencionales; las tecnologías emergentes y el control de armas; el futuro de las armas biológicas; la guerra en Ucrania; el futuro de la no proliferación y el desarme; y los retos a los que se enfrenta la futura conferencia de revisión del TNP.</w:t>
      </w:r>
    </w:p>
    <w:p w14:paraId="7A13BDB5" w14:textId="2AE5F3F3" w:rsidR="00F729F2" w:rsidRPr="003F60D8" w:rsidRDefault="00F729F2" w:rsidP="00F729F2">
      <w:pPr>
        <w:spacing w:line="276" w:lineRule="auto"/>
        <w:jc w:val="both"/>
        <w:rPr>
          <w:rFonts w:ascii="Times New Roman" w:hAnsi="Times New Roman" w:cs="Times New Roman"/>
          <w:sz w:val="24"/>
          <w:szCs w:val="24"/>
          <w:lang w:val="en-GB"/>
        </w:rPr>
      </w:pPr>
      <w:bookmarkStart w:id="0" w:name="_Hlk124174947"/>
      <w:r w:rsidRPr="003F60D8">
        <w:rPr>
          <w:sz w:val="24"/>
          <w:lang w:bidi="es-ES"/>
        </w:rPr>
        <w:t xml:space="preserve">Los participantes fueron recibidos por Ettore Greco, vicepresidente ejecutivo del Istituto Affari Internazionali. Greco </w:t>
      </w:r>
      <w:bookmarkEnd w:id="0"/>
      <w:r w:rsidRPr="003F60D8">
        <w:rPr>
          <w:sz w:val="24"/>
          <w:lang w:bidi="es-ES"/>
        </w:rPr>
        <w:t xml:space="preserve">comenzó su intervención señalando que los componentes clave de la arquitectura de control de armas han demostrado ser resistentes y, hasta cierto punto, también capaces de adaptarse a nuevos desafíos. Sin embargo, señaló que los repetidos reveses en las esferas críticas del control de armas han creado peligrosas brechas que corren el riesgo de ampliarse aún más. Existe una sensación de urgencia, especialmente en lo que respecta al riesgo nuclear. Habida cuenta de las escasas perspectivas de reapertura de las conversaciones sobre el desarme nuclear a corto plazo, está aumentando la demanda de medidas que fomenten la confianza y que puedan garantizar una mayor transparencia y apertura. El deterioro del orden nuclear también ha tenido un impacto muy negativo sobre el régimen de la no proliferación, que se basa en un delicado equilibrio de obligaciones. Enfatizó que esto exige que los expertos y académicos participen en un nuevo debate estratégico para identificar nuevas vías centradas en, por una parte, consolidar los acuerdos existentes y, por otra, fomentar un diálogo nuclear renovado. </w:t>
      </w:r>
    </w:p>
    <w:p w14:paraId="01E39059" w14:textId="7C0DEFD2" w:rsidR="00661911" w:rsidRPr="00A023F4" w:rsidRDefault="00DE75CF" w:rsidP="00661911">
      <w:pPr>
        <w:spacing w:line="276" w:lineRule="auto"/>
        <w:jc w:val="both"/>
        <w:rPr>
          <w:rFonts w:ascii="Times New Roman" w:hAnsi="Times New Roman" w:cs="Times New Roman"/>
          <w:sz w:val="24"/>
          <w:szCs w:val="24"/>
          <w:lang w:val="en-GB"/>
        </w:rPr>
      </w:pPr>
      <w:r w:rsidRPr="003F60D8">
        <w:rPr>
          <w:sz w:val="24"/>
          <w:lang w:bidi="es-ES"/>
        </w:rPr>
        <w:t xml:space="preserve">La Conferencia fue inaugurada por Benedikta von Seherr-Thoss, directora general de Paz, Seguridad y Defensa del Servicio Europeo de Acción Exterior (SEAE), quien destacó el deterioro del entorno internacional de seguridad a partir de la invasión rusa de Ucrania. Hizo hincapié en que los compromisos de control de armas han sufrido varios reveses, entre ellos la retirada rusa de tratados clave y su negativa a colaborar en un marco sucesor del Nuevo START. También persisten graves preocupaciones sobre el creciente arsenal nuclear de Corea del Norte, el avance de las actividades nucleares en Irán y sus consecuentes riesgos de proliferación y carreras armamentísticas. También abordó los desafíos actuales para el Tratado sobre la No Proliferación de las Armas Nucleares y el peligro emergente de que se utilicen armas químicas, especialmente en Siria y Ucrania. Ha habido avances en áreas tales como la Convención sobre la Prohibición de las Minas Antipersonal, pero los riesgos crecientes están asociados a las tecnologías emergentes, la inteligencia artificial y las armas basadas en el espacio. Von Seherr-Thoss hizo hincapié en la necesidad de fortalecer el marco de la no proliferación y el desarme a través de un multilateralismo inclusivo para hacer frente a estas </w:t>
      </w:r>
      <w:r w:rsidRPr="003F60D8">
        <w:rPr>
          <w:sz w:val="24"/>
          <w:lang w:bidi="es-ES"/>
        </w:rPr>
        <w:lastRenderedPageBreak/>
        <w:t>amenazas mundiales. Destacó el apoyo de la UE a estos esfuerzos, a través de proyectos concretos financiados dentro del contexto de la Política Común de Asuntos Exteriores y de Seguridad. A pesar de este panorama desalentador, reafirmó el compromiso de la UE con un multilateralismo efectivo que se mueva paso a paso, e hizo un llamado a la unión por la defensa del orden global frente a las ambiciones de las potencias expansionistas.</w:t>
      </w:r>
    </w:p>
    <w:p w14:paraId="5C25FA3F" w14:textId="156113C3" w:rsidR="00844366" w:rsidRPr="00A023F4" w:rsidRDefault="00844366" w:rsidP="00844366">
      <w:pPr>
        <w:spacing w:line="276" w:lineRule="auto"/>
        <w:jc w:val="both"/>
        <w:rPr>
          <w:rFonts w:ascii="Times New Roman" w:hAnsi="Times New Roman" w:cs="Times New Roman"/>
          <w:sz w:val="24"/>
          <w:szCs w:val="24"/>
          <w:lang w:val="en-GB"/>
        </w:rPr>
      </w:pPr>
      <w:bookmarkStart w:id="1" w:name="_Hlk124174979"/>
      <w:r w:rsidRPr="00A023F4">
        <w:rPr>
          <w:sz w:val="24"/>
          <w:lang w:bidi="es-ES"/>
        </w:rPr>
        <w:t>Petr Jelínek, jefe adjunto de la Unidad de Operaciones PESC y de Observación Electoral de la Comisión Europea, subrayó que el orden internacional basado en las normas y el multilateralismo han estado sometidos durante mucho tiempo a una presión sin precedentes, que se ha visto exacerbada por la agresión militar de Rusia contra Ucrania. Esto ha tenido un impacto sobre los marcos multilaterales que apoyan la no proliferación. A pesar de estos desafíos, la UE sigue firmemente comprometida con la no proliferación y el desarme, valores profundamente arraigados en su filosofía de base. En apoyo a estos esfuerzos, la UE asigna 13 millones de euros al año para financiar 30 iniciativas dirigidas hacia las armas de destrucción masiva y la proliferación de armas pequeñas. Algunos proyectos recientes incluyen el apoyo a la Convención sobre Armas Biológicas, a través de la Oficina de Asuntos de Desarme de la ONU, nuevas iniciativas de la Organización para la Prohibición de las Armas Químicas y acciones de seguridad nuclear a través del Organismo Internacional de Energía Atómica. Además, la UE está planificando nuevas medidas para hacer frente a la proliferación de armas pequeñas en Europa del Este y Ucrania. Jelínek destacó el papel significativo de la Conferencia Anual de la UE sobre la No Proliferación y el Desarme en el avance del conocimiento, el diálogo y la innovación, fundamentales para desenvolverse en el complejo panorama de la no proliferación. Hizo hincapié sobre la responsabilidad compartida de los participantes de fomentar un mundo más seguro y estable mediante su colaboración con los esfuerzos de no proliferación y desarme, e instó a reflexionar sobre estas obligaciones colectivas.</w:t>
      </w:r>
    </w:p>
    <w:bookmarkEnd w:id="1"/>
    <w:p w14:paraId="7B0B4A9A" w14:textId="427F74F3" w:rsidR="00E830B7" w:rsidRPr="00A023F4" w:rsidRDefault="00E830B7" w:rsidP="00E830B7">
      <w:pPr>
        <w:spacing w:line="276" w:lineRule="auto"/>
        <w:jc w:val="both"/>
        <w:rPr>
          <w:rFonts w:ascii="Times New Roman" w:hAnsi="Times New Roman" w:cs="Times New Roman"/>
          <w:sz w:val="24"/>
          <w:szCs w:val="24"/>
          <w:lang w:val="en-GB"/>
        </w:rPr>
      </w:pPr>
      <w:r w:rsidRPr="00A023F4">
        <w:rPr>
          <w:sz w:val="24"/>
          <w:lang w:bidi="es-ES"/>
        </w:rPr>
        <w:t xml:space="preserve">Stephan Klement, Enviado Especial para el Desarme y la No Proliferación del SEAE, comenzó su discurso planteando algunas preguntas críticas: </w:t>
      </w:r>
      <w:r w:rsidRPr="00A023F4">
        <w:rPr>
          <w:i/>
          <w:sz w:val="24"/>
          <w:lang w:bidi="es-ES"/>
        </w:rPr>
        <w:t>¿Cuál es la situación en el mundo? ¿Cuáles son los potenciales y las oportunidades?</w:t>
      </w:r>
      <w:r w:rsidRPr="00A023F4">
        <w:rPr>
          <w:sz w:val="24"/>
          <w:lang w:bidi="es-ES"/>
        </w:rPr>
        <w:t xml:space="preserve"> Reconoció los tiempos difíciles, marcados por la continuada guerra de agresión de Rusia y un bloqueo total de los esfuerzos multilaterales de control de armas. Klement destacó tendencias preocupantes, incluyendo la modernización de los arsenales nucleares, el desarrollo de armas más sofisticadas y el creciente papel de la inteligencia artificial en los entornos militares. También señaló la creación de nuevos tipos de misiles, mencionando su uso en el conflicto de Gaza como un ejemplo de la evolución de las amenazas. Estos acontecimientos ponen de relieve la urgencia de prestar una atención renovada a las iniciativas mundiales de no proliferación y desarme.</w:t>
      </w:r>
    </w:p>
    <w:p w14:paraId="32BA7BD6" w14:textId="53A69A3B" w:rsidR="00501A4E" w:rsidRPr="00A023F4" w:rsidRDefault="00E830B7" w:rsidP="00501A4E">
      <w:pPr>
        <w:spacing w:line="276" w:lineRule="auto"/>
        <w:jc w:val="both"/>
        <w:rPr>
          <w:rFonts w:ascii="Times New Roman" w:hAnsi="Times New Roman" w:cs="Times New Roman"/>
          <w:sz w:val="24"/>
          <w:szCs w:val="24"/>
          <w:lang w:val="en-GB"/>
        </w:rPr>
      </w:pPr>
      <w:r w:rsidRPr="003F60D8">
        <w:rPr>
          <w:sz w:val="24"/>
          <w:lang w:bidi="es-ES"/>
        </w:rPr>
        <w:t>El director general de la Organización para la Prohibición de las Armas Químicas, Fernando Arias,</w:t>
      </w:r>
      <w:bookmarkStart w:id="2" w:name="_Hlk124175029"/>
      <w:r w:rsidRPr="003F60D8">
        <w:rPr>
          <w:sz w:val="24"/>
          <w:lang w:bidi="es-ES"/>
        </w:rPr>
        <w:t xml:space="preserve"> destacó en su discurso la importancia de abordar los retos actuales en medio de crecientes tensiones geopolíticas, tales como los conflictos en Gaza y Ucrania. Hizo hincapié en los logros de la OPAQ, incluyendo la destrucción total de los arsenales de armas químicas declarados en 2023, pero advirtió sobre las continuas amenazas, incluyendo el riesgo del resurgimiento de las armas químicas y el incumplimiento de la Convención sobre las Armas Químicas (CAQ) en conflictos recientes. Arias destacó avances, tales como el Centro de Química y Tecnología inaugurado en 2023, y el enfoque proactivo sobre las tecnologías emergentes, en particular la inteligencia artificial. También señaló el </w:t>
      </w:r>
      <w:r w:rsidRPr="003F60D8">
        <w:rPr>
          <w:sz w:val="24"/>
          <w:lang w:bidi="es-ES"/>
        </w:rPr>
        <w:lastRenderedPageBreak/>
        <w:t>potencial de la IA para desarrollar armas químicas más peligrosas, así como su impacto sobre la automatización, la nanotecnología y el despliegue autónomo de agentes químicos, que plantean nuevos desafíos de seguridad. LA OPAQ continúa investigando el uso de armas químicas en Siria y gestionando la destrucción de los arsenales japoneses abandonados en China. También está abordando alegaciones del uso de agentes químicos en Ucrania. Arias instó a la comunidad internacional a fortalecer la colaboración y a aumentar los recursos para prevenir amenazas futuras, expresó su gratitud por el apoyo continuo de la UE y destacó la importancia de la OPAQ como instrumento clave para la seguridad y la paz mundial.</w:t>
      </w:r>
    </w:p>
    <w:p w14:paraId="1A4D32FC" w14:textId="3FF2ECC1" w:rsidR="000F5092" w:rsidRPr="00A023F4" w:rsidRDefault="00051FE3" w:rsidP="000F5092">
      <w:pPr>
        <w:spacing w:line="276" w:lineRule="auto"/>
        <w:jc w:val="both"/>
        <w:rPr>
          <w:rFonts w:ascii="Times New Roman" w:hAnsi="Times New Roman" w:cs="Times New Roman"/>
          <w:sz w:val="24"/>
          <w:szCs w:val="24"/>
          <w:lang w:val="en-GB"/>
        </w:rPr>
      </w:pPr>
      <w:r w:rsidRPr="00A023F4">
        <w:rPr>
          <w:sz w:val="24"/>
          <w:lang w:bidi="es-ES"/>
        </w:rPr>
        <w:t>En su discurso ante la Conferencia, la Alta Representante de las Naciones Unidas para Asuntos de Desarme, Izumi Nakamitsu, subrayó el deterioro en el panorama de la seguridad mundial, marcado por un aumento en el gasto militar, tensiones geopolíticas y desafíos al multilateralismo. Destacó los riesgos de carreras armamentísticas y las pruebas nucleares, e instó a reforzar tratados como el TNP y el TPCE. Nakamitsu también hizo hincapié sobre la necesidad de abordar las amenazas biológicas, considerar el impacto de las tecnologías emergentes como la IA, e intensificar los esfuerzos de desarme humanitario. Concluyó su intervención reconociendo el compromiso de la UE con el desarme multilateral e hizo un llamado a la colaboración para mitigar las crecientes amenazas mundiales.</w:t>
      </w:r>
    </w:p>
    <w:bookmarkEnd w:id="2"/>
    <w:p w14:paraId="69EC8227" w14:textId="601A39C9" w:rsidR="00F729F2" w:rsidRPr="00A023F4" w:rsidRDefault="00F729F2" w:rsidP="00F729F2">
      <w:pPr>
        <w:spacing w:line="276" w:lineRule="auto"/>
        <w:jc w:val="both"/>
        <w:rPr>
          <w:rFonts w:ascii="Times New Roman" w:hAnsi="Times New Roman" w:cs="Times New Roman"/>
          <w:sz w:val="24"/>
          <w:szCs w:val="24"/>
          <w:lang w:val="en-GB"/>
        </w:rPr>
      </w:pPr>
      <w:r w:rsidRPr="003F60D8">
        <w:rPr>
          <w:sz w:val="24"/>
          <w:lang w:bidi="es-ES"/>
        </w:rPr>
        <w:t>En sus observaciones finales, Sibylle Bauer, presidenta del Consorcio de No Proliferación y Desarme de la UE, encomió las conversaciones constructivas de la conferencia en un entorno de polarización mundial. Señaló los desafíos polifacéticos que están socavando el panorama de la seguridad internacional, destacando la necesidad urgente de actuar de manera colectiva y de adoptar un enfoque más amplio que vaya más allá de las cuestiones nucleares e incluya las amenazas biológicas, químicas y tecnológicas. Bauer destacó la importancia del diálogo intergeneracional y las ideas inspiradoras que los eventos centrados en los jóvenes, tales como el Taller y el Programa de Mentoría para la Próxima Generación del Consorcio. Hizo un llamado al pensamiento innovador, al compromiso constante y a las plataformas de diálogo abierto para avanzar en discusiones estratégicas sobre retos compartidos a nivel mundial.</w:t>
      </w:r>
    </w:p>
    <w:p w14:paraId="73A532B7" w14:textId="77777777" w:rsidR="009F4E53" w:rsidRPr="003F60D8" w:rsidRDefault="009F4E53" w:rsidP="009F4E53">
      <w:pPr>
        <w:spacing w:line="276" w:lineRule="auto"/>
        <w:jc w:val="both"/>
        <w:rPr>
          <w:rFonts w:ascii="Times New Roman" w:hAnsi="Times New Roman" w:cs="Times New Roman"/>
          <w:sz w:val="24"/>
          <w:szCs w:val="24"/>
          <w:lang w:val="en-GB"/>
        </w:rPr>
      </w:pPr>
      <w:r w:rsidRPr="003F60D8">
        <w:rPr>
          <w:sz w:val="24"/>
          <w:lang w:bidi="es-ES"/>
        </w:rPr>
        <w:t xml:space="preserve">La Conferencia de la UE sobre la No Proliferación y el Desarme ha demostrado, una vez más, ser un evento central para la discusión internacional sobre el futuro del control de armamentos, la no proliferación y el desarme. También contribuyó con reafirmar el fuerte compromiso de la UE con un orden global basado en las reglas y demostró un aumento en la concienciación sobre las políticas de no proliferación y desarme de la UE entre los funcionarios de las administraciones públicas, los académicos y representantes la sociedad civil de terceros países. Además, en el debate se abordaron nuevas maneras y medios de mejorar capacidades en zonas del mundo con conocimientos limitados para contrarrestar las amenazas provenientes de las APAL, las ADM y sus vectores. Por último, al igual que todos los años, la Conferencia sirvió de escenario para poner de relieve el papel de los grupos de reflexión europeos especializados en la no proliferación y el desarme y los esfuerzos del Consorcio de la UE para promocionar y coordinar su trabajo. </w:t>
      </w:r>
    </w:p>
    <w:p w14:paraId="58E4414D" w14:textId="77777777" w:rsidR="009F4E53" w:rsidRPr="00A023F4" w:rsidRDefault="009F4E53" w:rsidP="00F729F2">
      <w:pPr>
        <w:spacing w:line="276" w:lineRule="auto"/>
        <w:jc w:val="both"/>
        <w:rPr>
          <w:rFonts w:ascii="Times New Roman" w:hAnsi="Times New Roman" w:cs="Times New Roman"/>
          <w:sz w:val="24"/>
          <w:szCs w:val="24"/>
          <w:lang w:val="en-GB"/>
        </w:rPr>
      </w:pPr>
    </w:p>
    <w:p w14:paraId="7F3174E4" w14:textId="77777777" w:rsidR="00F729F2" w:rsidRPr="003F60D8" w:rsidRDefault="00F729F2" w:rsidP="00F729F2">
      <w:pPr>
        <w:spacing w:line="276" w:lineRule="auto"/>
        <w:ind w:left="45"/>
        <w:jc w:val="both"/>
        <w:rPr>
          <w:rFonts w:ascii="Times New Roman" w:hAnsi="Times New Roman" w:cs="Times New Roman"/>
          <w:sz w:val="24"/>
          <w:szCs w:val="24"/>
          <w:lang w:val="en-GB"/>
        </w:rPr>
      </w:pPr>
      <w:r w:rsidRPr="003F60D8">
        <w:rPr>
          <w:sz w:val="24"/>
          <w:lang w:bidi="es-ES"/>
        </w:rPr>
        <w:lastRenderedPageBreak/>
        <w:t xml:space="preserve">Para obtener más información y visualizar vídeos de la conferencia, visite la página web del Consorcio: </w:t>
      </w:r>
      <w:hyperlink r:id="rId11" w:history="1">
        <w:r w:rsidRPr="003F60D8">
          <w:rPr>
            <w:rStyle w:val="Hyperlink"/>
            <w:sz w:val="24"/>
            <w:lang w:bidi="es-ES"/>
          </w:rPr>
          <w:t>www.nonproliferation.eu</w:t>
        </w:r>
      </w:hyperlink>
      <w:r w:rsidRPr="003F60D8">
        <w:rPr>
          <w:sz w:val="24"/>
          <w:lang w:bidi="es-ES"/>
        </w:rPr>
        <w:t xml:space="preserve"> </w:t>
      </w:r>
    </w:p>
    <w:p w14:paraId="275E48BD" w14:textId="77777777" w:rsidR="00F729F2" w:rsidRPr="003F60D8" w:rsidRDefault="00F729F2" w:rsidP="00F729F2">
      <w:pPr>
        <w:spacing w:line="276" w:lineRule="auto"/>
        <w:jc w:val="both"/>
        <w:rPr>
          <w:sz w:val="40"/>
          <w:szCs w:val="40"/>
          <w:lang w:val="en-GB"/>
        </w:rPr>
      </w:pPr>
    </w:p>
    <w:p w14:paraId="67194284" w14:textId="77777777" w:rsidR="00F729F2" w:rsidRPr="003F60D8" w:rsidRDefault="00F729F2" w:rsidP="00F729F2">
      <w:pPr>
        <w:spacing w:line="276" w:lineRule="auto"/>
        <w:jc w:val="both"/>
        <w:rPr>
          <w:sz w:val="40"/>
          <w:szCs w:val="40"/>
          <w:lang w:val="en-GB"/>
        </w:rPr>
      </w:pPr>
    </w:p>
    <w:p w14:paraId="4F19A336" w14:textId="77777777" w:rsidR="00F729F2" w:rsidRPr="003F60D8" w:rsidRDefault="00F729F2" w:rsidP="00F729F2">
      <w:pPr>
        <w:spacing w:line="276" w:lineRule="auto"/>
        <w:jc w:val="both"/>
        <w:rPr>
          <w:sz w:val="40"/>
          <w:szCs w:val="40"/>
          <w:lang w:val="en-GB"/>
        </w:rPr>
      </w:pPr>
    </w:p>
    <w:p w14:paraId="25971F9E" w14:textId="77777777" w:rsidR="00F729F2" w:rsidRPr="003F60D8" w:rsidRDefault="00F729F2" w:rsidP="00F729F2">
      <w:pPr>
        <w:spacing w:line="276" w:lineRule="auto"/>
        <w:jc w:val="both"/>
        <w:rPr>
          <w:sz w:val="40"/>
          <w:szCs w:val="40"/>
          <w:lang w:val="en-GB"/>
        </w:rPr>
      </w:pPr>
      <w:r w:rsidRPr="00E071DA">
        <w:rPr>
          <w:lang w:bidi="es-ES"/>
        </w:rPr>
        <w:drawing>
          <wp:anchor distT="0" distB="0" distL="0" distR="0" simplePos="0" relativeHeight="251659264" behindDoc="1" locked="0" layoutInCell="1" allowOverlap="1" wp14:anchorId="4AC4BCD1" wp14:editId="788C7B5C">
            <wp:simplePos x="0" y="0"/>
            <wp:positionH relativeFrom="margin">
              <wp:align>center</wp:align>
            </wp:positionH>
            <wp:positionV relativeFrom="page">
              <wp:posOffset>9301924</wp:posOffset>
            </wp:positionV>
            <wp:extent cx="1113154" cy="815975"/>
            <wp:effectExtent l="0" t="0" r="0" b="3175"/>
            <wp:wrapNone/>
            <wp:docPr id="2003479257" name="Picture 2003479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113154" cy="815975"/>
                    </a:xfrm>
                    <a:prstGeom prst="rect">
                      <a:avLst/>
                    </a:prstGeom>
                  </pic:spPr>
                </pic:pic>
              </a:graphicData>
            </a:graphic>
          </wp:anchor>
        </w:drawing>
      </w:r>
    </w:p>
    <w:p w14:paraId="31A4B170" w14:textId="77777777" w:rsidR="002476F8" w:rsidRPr="003F60D8" w:rsidRDefault="002476F8">
      <w:pPr>
        <w:rPr>
          <w:lang w:val="en-GB"/>
        </w:rPr>
      </w:pPr>
    </w:p>
    <w:sectPr w:rsidR="002476F8" w:rsidRPr="003F60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A2A7" w14:textId="77777777" w:rsidR="00131219" w:rsidRDefault="00131219" w:rsidP="00F729F2">
      <w:pPr>
        <w:spacing w:after="0" w:line="240" w:lineRule="auto"/>
      </w:pPr>
      <w:r>
        <w:separator/>
      </w:r>
    </w:p>
  </w:endnote>
  <w:endnote w:type="continuationSeparator" w:id="0">
    <w:p w14:paraId="4B97F099" w14:textId="77777777" w:rsidR="00131219" w:rsidRDefault="00131219" w:rsidP="00F7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C8A8" w14:textId="77777777" w:rsidR="00131219" w:rsidRDefault="00131219" w:rsidP="00F729F2">
      <w:pPr>
        <w:spacing w:after="0" w:line="240" w:lineRule="auto"/>
      </w:pPr>
      <w:r>
        <w:separator/>
      </w:r>
    </w:p>
  </w:footnote>
  <w:footnote w:type="continuationSeparator" w:id="0">
    <w:p w14:paraId="12E1AB89" w14:textId="77777777" w:rsidR="00131219" w:rsidRDefault="00131219" w:rsidP="00F729F2">
      <w:pPr>
        <w:spacing w:after="0" w:line="240" w:lineRule="auto"/>
      </w:pPr>
      <w:r>
        <w:continuationSeparator/>
      </w:r>
    </w:p>
  </w:footnote>
  <w:footnote w:id="1">
    <w:p w14:paraId="76E5848B" w14:textId="77777777" w:rsidR="00F729F2" w:rsidRPr="000A3A4B" w:rsidRDefault="00F729F2" w:rsidP="00F729F2">
      <w:pPr>
        <w:pStyle w:val="FootnoteText"/>
      </w:pPr>
      <w:r>
        <w:rPr>
          <w:rStyle w:val="FootnoteReference"/>
          <w:lang w:bidi="es-ES"/>
        </w:rPr>
        <w:footnoteRef/>
      </w:r>
      <w:r w:rsidRPr="000A3A4B">
        <w:rPr>
          <w:lang w:bidi="es-ES"/>
        </w:rPr>
        <w:t>El Dr. Manuel Herrera es un investigador del programa de multilateralismo y gobernanza global del Istituto Affari Internazionali (IAI).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2"/>
    <w:rsid w:val="000011B2"/>
    <w:rsid w:val="000029E7"/>
    <w:rsid w:val="0000734E"/>
    <w:rsid w:val="00051FE3"/>
    <w:rsid w:val="000D07D7"/>
    <w:rsid w:val="000D2DE3"/>
    <w:rsid w:val="000F22FC"/>
    <w:rsid w:val="000F5092"/>
    <w:rsid w:val="00114FDD"/>
    <w:rsid w:val="00131219"/>
    <w:rsid w:val="001A2949"/>
    <w:rsid w:val="00206734"/>
    <w:rsid w:val="00226C83"/>
    <w:rsid w:val="00235F23"/>
    <w:rsid w:val="002476F8"/>
    <w:rsid w:val="00257305"/>
    <w:rsid w:val="00257E54"/>
    <w:rsid w:val="002606D1"/>
    <w:rsid w:val="003301E5"/>
    <w:rsid w:val="003C6865"/>
    <w:rsid w:val="003F60D8"/>
    <w:rsid w:val="00421C34"/>
    <w:rsid w:val="00490125"/>
    <w:rsid w:val="004E11E4"/>
    <w:rsid w:val="00501A4E"/>
    <w:rsid w:val="005F7B1B"/>
    <w:rsid w:val="006003C8"/>
    <w:rsid w:val="00611CF7"/>
    <w:rsid w:val="006611A3"/>
    <w:rsid w:val="00661911"/>
    <w:rsid w:val="006C2D72"/>
    <w:rsid w:val="00740EA4"/>
    <w:rsid w:val="007B2554"/>
    <w:rsid w:val="007F6228"/>
    <w:rsid w:val="00844366"/>
    <w:rsid w:val="00884E64"/>
    <w:rsid w:val="00904B93"/>
    <w:rsid w:val="009F3AF0"/>
    <w:rsid w:val="009F4E53"/>
    <w:rsid w:val="00A023F4"/>
    <w:rsid w:val="00A04023"/>
    <w:rsid w:val="00A25E51"/>
    <w:rsid w:val="00A34294"/>
    <w:rsid w:val="00A42D00"/>
    <w:rsid w:val="00AD66C2"/>
    <w:rsid w:val="00B3042E"/>
    <w:rsid w:val="00BB5398"/>
    <w:rsid w:val="00BB7DE8"/>
    <w:rsid w:val="00BD02E8"/>
    <w:rsid w:val="00BE6404"/>
    <w:rsid w:val="00C3559F"/>
    <w:rsid w:val="00D1031D"/>
    <w:rsid w:val="00D10A2E"/>
    <w:rsid w:val="00D70B5A"/>
    <w:rsid w:val="00DE75CF"/>
    <w:rsid w:val="00E05BCE"/>
    <w:rsid w:val="00E071DA"/>
    <w:rsid w:val="00E075C8"/>
    <w:rsid w:val="00E823DC"/>
    <w:rsid w:val="00E830B7"/>
    <w:rsid w:val="00EE6F38"/>
    <w:rsid w:val="00F729F2"/>
    <w:rsid w:val="00FC7696"/>
    <w:rsid w:val="00FF48BC"/>
    <w:rsid w:val="00FF4FD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8390"/>
  <w15:chartTrackingRefBased/>
  <w15:docId w15:val="{F7A5B69A-A091-4183-BD33-D65233D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29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9F2"/>
    <w:rPr>
      <w:kern w:val="0"/>
      <w:sz w:val="20"/>
      <w:szCs w:val="20"/>
      <w14:ligatures w14:val="none"/>
    </w:rPr>
  </w:style>
  <w:style w:type="character" w:styleId="FootnoteReference">
    <w:name w:val="footnote reference"/>
    <w:basedOn w:val="DefaultParagraphFont"/>
    <w:uiPriority w:val="99"/>
    <w:semiHidden/>
    <w:unhideWhenUsed/>
    <w:rsid w:val="00F729F2"/>
    <w:rPr>
      <w:vertAlign w:val="superscript"/>
    </w:rPr>
  </w:style>
  <w:style w:type="character" w:styleId="Hyperlink">
    <w:name w:val="Hyperlink"/>
    <w:basedOn w:val="DefaultParagraphFont"/>
    <w:uiPriority w:val="99"/>
    <w:unhideWhenUsed/>
    <w:rsid w:val="00F729F2"/>
    <w:rPr>
      <w:color w:val="0563C1" w:themeColor="hyperlink"/>
      <w:u w:val="single"/>
    </w:rPr>
  </w:style>
  <w:style w:type="character" w:customStyle="1" w:styleId="fontstyle01">
    <w:name w:val="fontstyle01"/>
    <w:basedOn w:val="DefaultParagraphFont"/>
    <w:rsid w:val="00F729F2"/>
    <w:rPr>
      <w:rFonts w:ascii="TimesNewRomanPS-ItalicMT" w:hAnsi="TimesNewRomanPS-ItalicMT" w:hint="default"/>
      <w:b w:val="0"/>
      <w:bCs w:val="0"/>
      <w:i/>
      <w:iCs/>
      <w:color w:val="000000"/>
      <w:sz w:val="20"/>
      <w:szCs w:val="20"/>
    </w:rPr>
  </w:style>
  <w:style w:type="character" w:styleId="CommentReference">
    <w:name w:val="annotation reference"/>
    <w:basedOn w:val="DefaultParagraphFont"/>
    <w:uiPriority w:val="99"/>
    <w:semiHidden/>
    <w:unhideWhenUsed/>
    <w:rsid w:val="00F729F2"/>
    <w:rPr>
      <w:sz w:val="16"/>
      <w:szCs w:val="16"/>
    </w:rPr>
  </w:style>
  <w:style w:type="paragraph" w:styleId="CommentText">
    <w:name w:val="annotation text"/>
    <w:basedOn w:val="Normal"/>
    <w:link w:val="CommentTextChar"/>
    <w:uiPriority w:val="99"/>
    <w:unhideWhenUsed/>
    <w:rsid w:val="00F729F2"/>
    <w:pPr>
      <w:spacing w:line="240" w:lineRule="auto"/>
    </w:pPr>
    <w:rPr>
      <w:sz w:val="20"/>
      <w:szCs w:val="20"/>
    </w:rPr>
  </w:style>
  <w:style w:type="character" w:customStyle="1" w:styleId="CommentTextChar">
    <w:name w:val="Comment Text Char"/>
    <w:basedOn w:val="DefaultParagraphFont"/>
    <w:link w:val="CommentText"/>
    <w:uiPriority w:val="99"/>
    <w:rsid w:val="00F729F2"/>
    <w:rPr>
      <w:kern w:val="0"/>
      <w:sz w:val="20"/>
      <w:szCs w:val="20"/>
      <w14:ligatures w14:val="none"/>
    </w:rPr>
  </w:style>
  <w:style w:type="paragraph" w:styleId="NormalWeb">
    <w:name w:val="Normal (Web)"/>
    <w:basedOn w:val="Normal"/>
    <w:uiPriority w:val="99"/>
    <w:semiHidden/>
    <w:unhideWhenUsed/>
    <w:rsid w:val="00661911"/>
    <w:rPr>
      <w:rFonts w:ascii="Times New Roman" w:hAnsi="Times New Roman" w:cs="Times New Roman"/>
      <w:sz w:val="24"/>
      <w:szCs w:val="24"/>
    </w:rPr>
  </w:style>
  <w:style w:type="paragraph" w:styleId="Revision">
    <w:name w:val="Revision"/>
    <w:hidden/>
    <w:uiPriority w:val="99"/>
    <w:semiHidden/>
    <w:rsid w:val="00226C8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F4E53"/>
    <w:rPr>
      <w:b/>
      <w:bCs/>
    </w:rPr>
  </w:style>
  <w:style w:type="character" w:customStyle="1" w:styleId="CommentSubjectChar">
    <w:name w:val="Comment Subject Char"/>
    <w:basedOn w:val="CommentTextChar"/>
    <w:link w:val="CommentSubject"/>
    <w:uiPriority w:val="99"/>
    <w:semiHidden/>
    <w:rsid w:val="009F4E5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900">
      <w:bodyDiv w:val="1"/>
      <w:marLeft w:val="0"/>
      <w:marRight w:val="0"/>
      <w:marTop w:val="0"/>
      <w:marBottom w:val="0"/>
      <w:divBdr>
        <w:top w:val="none" w:sz="0" w:space="0" w:color="auto"/>
        <w:left w:val="none" w:sz="0" w:space="0" w:color="auto"/>
        <w:bottom w:val="none" w:sz="0" w:space="0" w:color="auto"/>
        <w:right w:val="none" w:sz="0" w:space="0" w:color="auto"/>
      </w:divBdr>
    </w:div>
    <w:div w:id="288363688">
      <w:bodyDiv w:val="1"/>
      <w:marLeft w:val="0"/>
      <w:marRight w:val="0"/>
      <w:marTop w:val="0"/>
      <w:marBottom w:val="0"/>
      <w:divBdr>
        <w:top w:val="none" w:sz="0" w:space="0" w:color="auto"/>
        <w:left w:val="none" w:sz="0" w:space="0" w:color="auto"/>
        <w:bottom w:val="none" w:sz="0" w:space="0" w:color="auto"/>
        <w:right w:val="none" w:sz="0" w:space="0" w:color="auto"/>
      </w:divBdr>
    </w:div>
    <w:div w:id="408306312">
      <w:bodyDiv w:val="1"/>
      <w:marLeft w:val="0"/>
      <w:marRight w:val="0"/>
      <w:marTop w:val="0"/>
      <w:marBottom w:val="0"/>
      <w:divBdr>
        <w:top w:val="none" w:sz="0" w:space="0" w:color="auto"/>
        <w:left w:val="none" w:sz="0" w:space="0" w:color="auto"/>
        <w:bottom w:val="none" w:sz="0" w:space="0" w:color="auto"/>
        <w:right w:val="none" w:sz="0" w:space="0" w:color="auto"/>
      </w:divBdr>
    </w:div>
    <w:div w:id="571506216">
      <w:bodyDiv w:val="1"/>
      <w:marLeft w:val="0"/>
      <w:marRight w:val="0"/>
      <w:marTop w:val="0"/>
      <w:marBottom w:val="0"/>
      <w:divBdr>
        <w:top w:val="none" w:sz="0" w:space="0" w:color="auto"/>
        <w:left w:val="none" w:sz="0" w:space="0" w:color="auto"/>
        <w:bottom w:val="none" w:sz="0" w:space="0" w:color="auto"/>
        <w:right w:val="none" w:sz="0" w:space="0" w:color="auto"/>
      </w:divBdr>
    </w:div>
    <w:div w:id="574554333">
      <w:bodyDiv w:val="1"/>
      <w:marLeft w:val="0"/>
      <w:marRight w:val="0"/>
      <w:marTop w:val="0"/>
      <w:marBottom w:val="0"/>
      <w:divBdr>
        <w:top w:val="none" w:sz="0" w:space="0" w:color="auto"/>
        <w:left w:val="none" w:sz="0" w:space="0" w:color="auto"/>
        <w:bottom w:val="none" w:sz="0" w:space="0" w:color="auto"/>
        <w:right w:val="none" w:sz="0" w:space="0" w:color="auto"/>
      </w:divBdr>
    </w:div>
    <w:div w:id="733312845">
      <w:bodyDiv w:val="1"/>
      <w:marLeft w:val="0"/>
      <w:marRight w:val="0"/>
      <w:marTop w:val="0"/>
      <w:marBottom w:val="0"/>
      <w:divBdr>
        <w:top w:val="none" w:sz="0" w:space="0" w:color="auto"/>
        <w:left w:val="none" w:sz="0" w:space="0" w:color="auto"/>
        <w:bottom w:val="none" w:sz="0" w:space="0" w:color="auto"/>
        <w:right w:val="none" w:sz="0" w:space="0" w:color="auto"/>
      </w:divBdr>
    </w:div>
    <w:div w:id="1121874689">
      <w:bodyDiv w:val="1"/>
      <w:marLeft w:val="0"/>
      <w:marRight w:val="0"/>
      <w:marTop w:val="0"/>
      <w:marBottom w:val="0"/>
      <w:divBdr>
        <w:top w:val="none" w:sz="0" w:space="0" w:color="auto"/>
        <w:left w:val="none" w:sz="0" w:space="0" w:color="auto"/>
        <w:bottom w:val="none" w:sz="0" w:space="0" w:color="auto"/>
        <w:right w:val="none" w:sz="0" w:space="0" w:color="auto"/>
      </w:divBdr>
    </w:div>
    <w:div w:id="1191258252">
      <w:bodyDiv w:val="1"/>
      <w:marLeft w:val="0"/>
      <w:marRight w:val="0"/>
      <w:marTop w:val="0"/>
      <w:marBottom w:val="0"/>
      <w:divBdr>
        <w:top w:val="none" w:sz="0" w:space="0" w:color="auto"/>
        <w:left w:val="none" w:sz="0" w:space="0" w:color="auto"/>
        <w:bottom w:val="none" w:sz="0" w:space="0" w:color="auto"/>
        <w:right w:val="none" w:sz="0" w:space="0" w:color="auto"/>
      </w:divBdr>
    </w:div>
    <w:div w:id="1599295466">
      <w:bodyDiv w:val="1"/>
      <w:marLeft w:val="0"/>
      <w:marRight w:val="0"/>
      <w:marTop w:val="0"/>
      <w:marBottom w:val="0"/>
      <w:divBdr>
        <w:top w:val="none" w:sz="0" w:space="0" w:color="auto"/>
        <w:left w:val="none" w:sz="0" w:space="0" w:color="auto"/>
        <w:bottom w:val="none" w:sz="0" w:space="0" w:color="auto"/>
        <w:right w:val="none" w:sz="0" w:space="0" w:color="auto"/>
      </w:divBdr>
    </w:div>
    <w:div w:id="1732387907">
      <w:bodyDiv w:val="1"/>
      <w:marLeft w:val="0"/>
      <w:marRight w:val="0"/>
      <w:marTop w:val="0"/>
      <w:marBottom w:val="0"/>
      <w:divBdr>
        <w:top w:val="none" w:sz="0" w:space="0" w:color="auto"/>
        <w:left w:val="none" w:sz="0" w:space="0" w:color="auto"/>
        <w:bottom w:val="none" w:sz="0" w:space="0" w:color="auto"/>
        <w:right w:val="none" w:sz="0" w:space="0" w:color="auto"/>
      </w:divBdr>
    </w:div>
    <w:div w:id="1791825894">
      <w:bodyDiv w:val="1"/>
      <w:marLeft w:val="0"/>
      <w:marRight w:val="0"/>
      <w:marTop w:val="0"/>
      <w:marBottom w:val="0"/>
      <w:divBdr>
        <w:top w:val="none" w:sz="0" w:space="0" w:color="auto"/>
        <w:left w:val="none" w:sz="0" w:space="0" w:color="auto"/>
        <w:bottom w:val="none" w:sz="0" w:space="0" w:color="auto"/>
        <w:right w:val="none" w:sz="0" w:space="0" w:color="auto"/>
      </w:divBdr>
    </w:div>
    <w:div w:id="1904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LEGISSUM:l332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nproliferation.eu/"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onproliferation.eu" TargetMode="External"/><Relationship Id="rId5" Type="http://schemas.openxmlformats.org/officeDocument/2006/relationships/endnotes" Target="endnotes.xml"/><Relationship Id="rId10" Type="http://schemas.openxmlformats.org/officeDocument/2006/relationships/hyperlink" Target="https://eeas.europa.eu/headquarters/headquarters-homepage_en" TargetMode="External"/><Relationship Id="rId4" Type="http://schemas.openxmlformats.org/officeDocument/2006/relationships/footnotes" Target="footnotes.xml"/><Relationship Id="rId9" Type="http://schemas.openxmlformats.org/officeDocument/2006/relationships/hyperlink" Target="https://data.consilium.europa.eu/doc/document/ST-13581-2018-INIT/en/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2038</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Herrera</dc:creator>
  <cp:keywords/>
  <dc:description/>
  <cp:lastModifiedBy>LSB</cp:lastModifiedBy>
  <cp:revision>2</cp:revision>
  <dcterms:created xsi:type="dcterms:W3CDTF">2025-03-24T11:17:00Z</dcterms:created>
  <dcterms:modified xsi:type="dcterms:W3CDTF">2025-03-24T11:17:00Z</dcterms:modified>
</cp:coreProperties>
</file>