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DB3D" w14:textId="77777777" w:rsidR="00F729F2" w:rsidRPr="007A698E" w:rsidRDefault="00F729F2" w:rsidP="00F729F2">
      <w:pPr>
        <w:jc w:val="center"/>
        <w:rPr>
          <w:sz w:val="40"/>
          <w:szCs w:val="40"/>
          <w:lang w:val="ru-RU"/>
        </w:rPr>
      </w:pPr>
      <w:r w:rsidRPr="007A698E">
        <w:rPr>
          <w:noProof/>
          <w:sz w:val="40"/>
          <w:szCs w:val="40"/>
          <w:lang w:val="ru-RU"/>
        </w:rPr>
        <w:drawing>
          <wp:inline distT="0" distB="0" distL="0" distR="0" wp14:anchorId="3E2401AB" wp14:editId="0660CDD3">
            <wp:extent cx="3491230" cy="1045413"/>
            <wp:effectExtent l="0" t="0" r="0" b="2540"/>
            <wp:docPr id="1" name="Immagine 1" descr="Консорциум ЕС по нераспространению – Консорциум ЕС по нераспростран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U Non-Proliferation Consortium – The EU Non-Proliferation Consort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2" cy="104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1A4C0" w14:textId="77777777" w:rsidR="00F729F2" w:rsidRPr="007A698E" w:rsidRDefault="00F729F2" w:rsidP="00F729F2">
      <w:pPr>
        <w:jc w:val="center"/>
        <w:rPr>
          <w:sz w:val="40"/>
          <w:szCs w:val="40"/>
          <w:lang w:val="ru-RU"/>
        </w:rPr>
      </w:pPr>
    </w:p>
    <w:p w14:paraId="29FA41AD" w14:textId="77777777" w:rsidR="00F729F2" w:rsidRPr="007A698E" w:rsidRDefault="00F729F2" w:rsidP="00F729F2">
      <w:pPr>
        <w:spacing w:line="240" w:lineRule="auto"/>
        <w:jc w:val="center"/>
        <w:rPr>
          <w:rFonts w:ascii="Times" w:hAnsi="Times"/>
          <w:sz w:val="28"/>
          <w:szCs w:val="28"/>
          <w:lang w:val="ru-RU"/>
        </w:rPr>
      </w:pPr>
      <w:r w:rsidRPr="007A698E">
        <w:rPr>
          <w:rFonts w:ascii="Times" w:hAnsi="Times"/>
          <w:sz w:val="28"/>
          <w:szCs w:val="28"/>
          <w:lang w:val="ru-RU"/>
        </w:rPr>
        <w:t xml:space="preserve">Тринадцатая Конференция Европейского Союза </w:t>
      </w:r>
    </w:p>
    <w:p w14:paraId="00B66138" w14:textId="77777777" w:rsidR="00F729F2" w:rsidRPr="007A698E" w:rsidRDefault="00F729F2" w:rsidP="00F729F2">
      <w:pPr>
        <w:spacing w:line="240" w:lineRule="auto"/>
        <w:jc w:val="center"/>
        <w:rPr>
          <w:rFonts w:ascii="Times" w:hAnsi="Times"/>
          <w:sz w:val="28"/>
          <w:szCs w:val="28"/>
          <w:lang w:val="ru-RU"/>
        </w:rPr>
      </w:pPr>
      <w:r w:rsidRPr="007A698E">
        <w:rPr>
          <w:rFonts w:ascii="Times" w:hAnsi="Times"/>
          <w:sz w:val="28"/>
          <w:szCs w:val="28"/>
          <w:lang w:val="ru-RU"/>
        </w:rPr>
        <w:t xml:space="preserve">по нераспространению и разоружению </w:t>
      </w:r>
    </w:p>
    <w:p w14:paraId="6FBC4CE0" w14:textId="77777777" w:rsidR="00F729F2" w:rsidRPr="007A698E" w:rsidRDefault="00F729F2" w:rsidP="00F729F2">
      <w:pPr>
        <w:spacing w:line="240" w:lineRule="auto"/>
        <w:jc w:val="center"/>
        <w:rPr>
          <w:rFonts w:ascii="Times" w:hAnsi="Times"/>
          <w:sz w:val="28"/>
          <w:szCs w:val="28"/>
          <w:lang w:val="ru-RU"/>
        </w:rPr>
      </w:pPr>
      <w:r w:rsidRPr="007A698E">
        <w:rPr>
          <w:rFonts w:ascii="Times" w:hAnsi="Times"/>
          <w:sz w:val="28"/>
          <w:szCs w:val="28"/>
          <w:lang w:val="ru-RU"/>
        </w:rPr>
        <w:t xml:space="preserve">12-13 ноября 2024 года </w:t>
      </w:r>
    </w:p>
    <w:p w14:paraId="25DE1BAC" w14:textId="77777777" w:rsidR="00F729F2" w:rsidRPr="007A698E" w:rsidRDefault="00F729F2" w:rsidP="00F729F2">
      <w:pPr>
        <w:spacing w:line="240" w:lineRule="auto"/>
        <w:jc w:val="center"/>
        <w:rPr>
          <w:rFonts w:ascii="Times" w:hAnsi="Times"/>
          <w:i/>
          <w:iCs/>
          <w:sz w:val="28"/>
          <w:szCs w:val="28"/>
          <w:lang w:val="ru-RU"/>
        </w:rPr>
      </w:pPr>
      <w:r w:rsidRPr="007A698E">
        <w:rPr>
          <w:rFonts w:ascii="Times" w:hAnsi="Times"/>
          <w:i/>
          <w:iCs/>
          <w:sz w:val="28"/>
          <w:szCs w:val="28"/>
          <w:lang w:val="ru-RU"/>
        </w:rPr>
        <w:t xml:space="preserve">Краткий отчет о конференции </w:t>
      </w:r>
    </w:p>
    <w:p w14:paraId="54D862E2" w14:textId="77777777" w:rsidR="00F729F2" w:rsidRPr="007A698E" w:rsidRDefault="00F729F2" w:rsidP="00F729F2">
      <w:pPr>
        <w:spacing w:line="240" w:lineRule="auto"/>
        <w:jc w:val="center"/>
        <w:rPr>
          <w:rFonts w:ascii="Times" w:hAnsi="Times"/>
          <w:i/>
          <w:iCs/>
          <w:sz w:val="28"/>
          <w:szCs w:val="28"/>
          <w:lang w:val="ru-RU"/>
        </w:rPr>
      </w:pPr>
      <w:r w:rsidRPr="007A698E">
        <w:rPr>
          <w:rFonts w:ascii="Times" w:hAnsi="Times"/>
          <w:i/>
          <w:iCs/>
          <w:sz w:val="28"/>
          <w:szCs w:val="28"/>
          <w:lang w:val="ru-RU"/>
        </w:rPr>
        <w:t xml:space="preserve">Составитель: </w:t>
      </w:r>
    </w:p>
    <w:p w14:paraId="0C566A4C" w14:textId="77777777" w:rsidR="00F729F2" w:rsidRPr="007A698E" w:rsidRDefault="00F729F2" w:rsidP="00F729F2">
      <w:pPr>
        <w:spacing w:line="240" w:lineRule="auto"/>
        <w:jc w:val="center"/>
        <w:rPr>
          <w:rFonts w:ascii="Times" w:hAnsi="Times"/>
          <w:i/>
          <w:iCs/>
          <w:sz w:val="28"/>
          <w:szCs w:val="28"/>
          <w:lang w:val="ru-RU"/>
        </w:rPr>
      </w:pPr>
      <w:r w:rsidRPr="007A698E">
        <w:rPr>
          <w:rFonts w:ascii="Times" w:hAnsi="Times"/>
          <w:i/>
          <w:iCs/>
          <w:sz w:val="28"/>
          <w:szCs w:val="28"/>
          <w:lang w:val="ru-RU"/>
        </w:rPr>
        <w:t>Мануэль Эррера</w:t>
      </w:r>
      <w:r w:rsidRPr="007A698E">
        <w:rPr>
          <w:rStyle w:val="FootnoteReference"/>
          <w:rFonts w:ascii="Times" w:hAnsi="Times"/>
          <w:sz w:val="28"/>
          <w:szCs w:val="28"/>
          <w:lang w:val="ru-RU"/>
        </w:rPr>
        <w:footnoteReference w:id="1"/>
      </w:r>
    </w:p>
    <w:p w14:paraId="6A389231" w14:textId="77777777" w:rsidR="00F729F2" w:rsidRPr="007A698E" w:rsidRDefault="00F729F2" w:rsidP="00F729F2">
      <w:pPr>
        <w:jc w:val="both"/>
        <w:rPr>
          <w:sz w:val="40"/>
          <w:szCs w:val="40"/>
          <w:lang w:val="ru-RU"/>
        </w:rPr>
      </w:pPr>
    </w:p>
    <w:p w14:paraId="174D3E91" w14:textId="6716C7E2" w:rsidR="00F729F2" w:rsidRPr="007A698E" w:rsidRDefault="00F729F2" w:rsidP="00F729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Тринадцатая Конференция ЕС по нераспространению и разоружению (EUNPDC) прошла 12 и 13 ноября 2024 года в гибридном формате в отеле The Hotel Brussels в Брюсселе (Бельгия). Конференция была организована Институтом международных отношений (Istituto Affari Internazionali, IAI) от имени </w:t>
      </w:r>
      <w:hyperlink r:id="rId7" w:history="1">
        <w:r w:rsidRPr="007A698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Сети независимых аналитических центров ЕС по вопросам нераспространения и разоружения</w:t>
        </w:r>
      </w:hyperlink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и собрала экспертов по вопросам нераспространения, разоружения, контроля над вооружениями и обычными вооружениями из государственных учреждений, правительств, международных организаций, независимых аналитических центров и гражданского общества. В конференции приняли участие более 600 экспертов из более чем 60 стран</w:t>
      </w:r>
      <w:r w:rsidR="00AE5B5C" w:rsidRPr="007A69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членов ЕС, ассоциированных государств и третьих стран в очном и дистанционном формате </w:t>
      </w:r>
    </w:p>
    <w:p w14:paraId="0965EF36" w14:textId="37EB6D43" w:rsidR="00F729F2" w:rsidRPr="007A698E" w:rsidRDefault="00F729F2" w:rsidP="00F729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Конференция ЕС по нераспространению и разоружению — одно из главных мероприятий Европейской сети независимых аналитических центров по нераспространению и разоружению. Сеть была создана в июле 2010 года Советом Европейского Союза для поддержки реализации </w:t>
      </w:r>
      <w:hyperlink r:id="rId8" w:history="1">
        <w:r w:rsidRPr="007A698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Стратегии ЕС по борьбе с распространением оружия массового уничтожения</w:t>
        </w:r>
      </w:hyperlink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. Сеть, которая также занимается реализацией </w:t>
      </w:r>
      <w:hyperlink r:id="rId9" w:history="1">
        <w:r w:rsidRPr="007A698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Стратегии ЕС по борьбе с незаконным оборотом огнестрельного оружия, стрелкового оружия и легких вооружений, а также боеприпасов к ним</w:t>
        </w:r>
      </w:hyperlink>
      <w:r w:rsidRPr="007A698E">
        <w:rPr>
          <w:rFonts w:ascii="Times New Roman" w:hAnsi="Times New Roman" w:cs="Times New Roman"/>
          <w:sz w:val="24"/>
          <w:szCs w:val="24"/>
          <w:lang w:val="ru-RU"/>
        </w:rPr>
        <w:t>, объединяет более 110 научно-исследовательских организаций и координируется консорциумом из шести институтов</w:t>
      </w:r>
      <w:r w:rsidR="00AE5B5C" w:rsidRPr="007A698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Фонд стратегических исследований (Fondation pour la Recherche Stratégique</w:t>
      </w:r>
      <w:r w:rsidR="001A5B10"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>FRS), Международный институт стратегических исследований (International Institute for Strategic Studies, IISS), Институт международных отношений (Istituto Affari Internazionali</w:t>
      </w:r>
      <w:r w:rsidR="001A5B10" w:rsidRPr="007A69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IAI), Франкфуртский институт исследования проблем мира (Peace Research Institute Frankfurt, HSFK</w:t>
      </w:r>
      <w:r w:rsidR="00AE5B5C" w:rsidRPr="007A69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E5B5C" w:rsidRPr="007A69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PRIF), Стокгольмский международный 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институт исследования проблем мира (Stockholm International Peace Research Institute</w:t>
      </w:r>
      <w:r w:rsidR="001A5B10" w:rsidRPr="007A69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SIPRI) и Венский центр по разоружению и нераспространению (Vienna Center for Disarmament and Non-Proliferation, VCDNP). </w:t>
      </w:r>
    </w:p>
    <w:p w14:paraId="26969661" w14:textId="2AB942B7" w:rsidR="00F729F2" w:rsidRPr="007A698E" w:rsidRDefault="00F729F2" w:rsidP="00F729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>С 2012 года ежегодная конференция является одной из ключевых встреч по вопросам нераспространения и разоружения в мире. Она стимулирует стратегическое обсуждение мер по борьбе с распространением оружия массового уничтожения (ОМУ) и систем его доставки, а также по решению проблем, связанных с обычными вооружениями, включая незаконную торговлю ими и чрезмерное накопление стрелкового оружия и легких вооружений (СОЛВ), а также боеприпасов к ним. На Конференции 2024 года был рассмотрен</w:t>
      </w:r>
      <w:r w:rsidR="00AE5B5C"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широкий ряд тем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>, имеющи</w:t>
      </w:r>
      <w:r w:rsidR="00AE5B5C" w:rsidRPr="007A698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первостепенное значение для работы ЕС, в частности </w:t>
      </w:r>
      <w:hyperlink r:id="rId10" w:history="1">
        <w:r w:rsidRPr="007A698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Европейской службы внешних действий (EEAS)</w:t>
        </w:r>
      </w:hyperlink>
      <w:r w:rsidRPr="007A698E">
        <w:rPr>
          <w:rFonts w:ascii="Times New Roman" w:hAnsi="Times New Roman" w:cs="Times New Roman"/>
          <w:sz w:val="24"/>
          <w:szCs w:val="24"/>
          <w:lang w:val="ru-RU"/>
        </w:rPr>
        <w:t>, а также ряд актуальных вопросов контроля над вооружениями, нераспространения и разоружения.</w:t>
      </w:r>
    </w:p>
    <w:p w14:paraId="3E99735A" w14:textId="1B328CF7" w:rsidR="00051FE3" w:rsidRPr="007A698E" w:rsidRDefault="00051FE3" w:rsidP="00F729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>Конференция включала пять пленарных заседаний, шесть параллельных сессий и два основных докладов, на которых обсуждались различные вопросы, такие как многосторонняя архитектура контроля над вооружениями; химическое разоружение; нераспространение и разоружение в Азиатско-Тихоокеанском регионе; контроль над вооружениями в космическом пространстве; распространение ОМУ на Ближнем Востоке; вызовы, связанные с контролем над обычными вооружениями; новые технологии и контроль над вооружениями; будущее биологического оружия; война в Украине; будущее нераспространения и разоружения; вызовы для будущего обзорной конференции ДНЯО.</w:t>
      </w:r>
    </w:p>
    <w:p w14:paraId="7A13BDB5" w14:textId="4E412AAF" w:rsidR="00F729F2" w:rsidRPr="007A698E" w:rsidRDefault="00F729F2" w:rsidP="00F729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24174947"/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приветствовал Этторе Греко, исполнительный вице-президент Института международных отношений. В начале своего выступления Греко </w:t>
      </w:r>
      <w:bookmarkEnd w:id="0"/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отметил, что ключевые компоненты архитектуры контроля над вооружениями доказали свою жизнеспособность и, в определенной степени, способность адаптироваться к новым вызовам. Однако он заметил, что череда неудач в важнейших областях контроля над вооружениями привела к возникновению опасных пробелов, которые рискуют стать еще шире. Существует насущная потребность принять меры, в частности, в отношении ядерных рисков. Учитывая плохие перспективы возобновления переговоров по ядерному разоружению в краткосрочной перспективе, растет спрос на меры по укреплению доверия, которые могли бы обеспечить большую прозрачность и открытость. Ухудшение ядерного порядка также крайне негативно сказалось на режиме нераспространения, который основан на хрупком балансе обязательств. Он подчеркнул, что это требует проведения новых стратегических дискуссий с участием экспертов и ученых, чтобы определить новые пути, с одной стороны, для укрепления существующих соглашений, а с другой — для возобновления ядерного диалога. </w:t>
      </w:r>
    </w:p>
    <w:p w14:paraId="01E39059" w14:textId="11DE7608" w:rsidR="00661911" w:rsidRPr="007A698E" w:rsidRDefault="00DE75CF" w:rsidP="006619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Конференцию открыла Бенедикта фон Зеерр-Тхосс, управляющий директор по вопросам мира, безопасности и обороны Европейской службы внешних действий (EEAS), которая отметила ухудшение ситуации с международной безопасностью после вторжения России в Украину. Она подчеркнула, что ряд событий, включая выход России из ключевых договоров и ее отказ сотрудничать по рамочной программе, которая заменит СНВ-III, привел к регрессу в области обязательств по контролю над вооружениями. Серьезную озабоченность также вызывают растущий ядерный арсенал Северной Кореи, развивающаяся ядерная деятельность Ирана и связанные с этим риски распространения и гонки вооружений. Она также затронула вопросы, связанные с текущими проблемами Договора о нераспространении ядерного оружия 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lastRenderedPageBreak/>
        <w:t>и возникающей опасностью применения химического оружия, особенно в Сирии и Украине. В таких областях, как Конвенция о запрещении противопехотных мин, достигнут определенный прогресс, однако растут риски, связанные с новыми технологиями, искусственным интеллектом и оружием космического базирования. Фон Зеерр-Тхосс подчеркнула необходимость укрепления структуры нераспространения и разоружения на основе инклюзивного мультилатер</w:t>
      </w:r>
      <w:r w:rsidR="00B27922" w:rsidRPr="007A698E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>изма для противодействия этим глобальным угрозам. Она подчеркнула, что ЕС поддерживает эти усилия с помощью конкретных проектов, финансируемых в рамках общей внешней политики и политики безопасности. Несмотря на столь мрачные перспективы, она подтвердила приверженность ЕС эффективному, поэтапному мультилатера</w:t>
      </w:r>
      <w:r w:rsidR="00B27922" w:rsidRPr="007A698E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>зму и призвала к объединению усилий для защиты мирового порядка от амбиций экспансионистских держав.</w:t>
      </w:r>
    </w:p>
    <w:p w14:paraId="5C25FA3F" w14:textId="156113C3" w:rsidR="00844366" w:rsidRPr="007A698E" w:rsidRDefault="00844366" w:rsidP="008443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24174979"/>
      <w:r w:rsidRPr="007A698E">
        <w:rPr>
          <w:rFonts w:ascii="Times New Roman" w:hAnsi="Times New Roman" w:cs="Times New Roman"/>
          <w:sz w:val="24"/>
          <w:szCs w:val="24"/>
          <w:lang w:val="ru-RU"/>
        </w:rPr>
        <w:t>Петр Елинек, заместитель руководителя отдела по операциям CFSP и наблюдению за выборами Европейской комиссии, подчеркнул, что международный порядок, основанный на правилах, и мультилатерализм уже давно находятся под беспрецедентным давлением, которое усугубилось в результате военной агрессии России против Украины. Это повлияло на многосторонние механизмы, поддерживающие нераспространение. Несмотря на эти проблемы, ЕС сохраняет твердую приверженность нераспространению и разоружению — ценностям, глубоко укоренившимся в его этике. Для поддержки этих усилий ЕС ежегодно выделяет 13 млн евро на финансирование 30 инициатив, направленных на борьбу с распространением оружия массового уничтожения и стрелкового оружия. Среди последних проектов — поддержка Конвенции по биологическому оружию в рамках деятельности Управления ООН по вопросам разоружения, новые инициативы под эгидой Организации по запрещению химического оружия, а также мероприятия по обеспечению ядерной безопасности, осуществляемые в рамках Международного агентства по атомной энергии. Кроме того, ЕС планирует новые действия по борьбе с распространением стрелкового оружия в Восточной Европе и Украине. Елинек подчеркнул значительную роль ежегодной конференции ЕС по нераспространению и разоружению в продвижении опыта, диалога и инноваций, необходимых для ориентации в сложном ландшафте нераспространения. Он подчеркнул общую ответственность участников за создание более безопасного и стабильного мира путем совместной работы в рамках усилий в области нераспространения и разоружения, призвав задуматься об этих коллективных обязательствах.</w:t>
      </w:r>
    </w:p>
    <w:bookmarkEnd w:id="1"/>
    <w:p w14:paraId="7B0B4A9A" w14:textId="427F74F3" w:rsidR="00E830B7" w:rsidRPr="007A698E" w:rsidRDefault="00E830B7" w:rsidP="00E830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Стефан Клемент, специальный посланник по вопросам нераспространения и разоружения в ЕСВД, начал свое выступление с постановки важнейших вопросов: </w:t>
      </w:r>
      <w:r w:rsidRPr="007A698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Каково положение в мире? Каковы потенциал и возможности?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Он признал, что настали непростые времена, отмеченные продолжающейся агрессивной войной России и полным тупиком в многосторонних усилиях по контролю над вооружениями. Клемент обратил внимание на такие тенденции, как модернизация ядерных арсеналов, разработка более совершенного оружия и растущая роль искусственного интеллекта в военном контексте. Он также отметил появление новых типов ракет, упомянув их использование в ходе конфликта в Газе в качестве примера эволюционирующих угроз. Эти события подчеркивают настоятельную необходимость вновь сосредоточить усилия на глобальных инициативах в области нераспространения и разоружения.</w:t>
      </w:r>
    </w:p>
    <w:p w14:paraId="32BA7BD6" w14:textId="53A69A3B" w:rsidR="00501A4E" w:rsidRPr="007A698E" w:rsidRDefault="00E830B7" w:rsidP="00501A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lastRenderedPageBreak/>
        <w:t>Генеральный директор Организации по запрещению химического оружия Фернандо Ариас,</w:t>
      </w:r>
      <w:bookmarkStart w:id="2" w:name="_Hlk124175029"/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в своем выступлении подчеркнул важность решения текущих проблем в условиях растущей геополитической напряженности, таких как конфликты в Газе и Украине. Он подчеркнул достижения ОЗХО, включая полное уничтожение объявленных запасов химического оружия в 2023 году, но предупредил о сохраняющихся угрозах, включая риск повторного появления химического оружия и нарушения Конвенции о запрещении химического оружия (КХО) в ходе недавних конфликтов. Ариас отметил такие достижения, как открытие Центра химии и технологий в 2023 году и активное внимание к новым технологиям, в частности к искусственному интеллекту (ИИ). Он отметил потенциал ИИ для разработки более опасного химического оружия, а также его влияние на автоматизацию, нанотехнологии и автономное развертывание химических агентов, которые создают новые вызовы безопасности. ОЗХО продолжает расследование случаев применения химического оружия в Сирии и руководит ликвидацией арсеналов, оставленных Японией на территории Китая. Он также рассматривает обвинения в отношении применения химических агентов в Украине. Ариас призвал международное сообщество укреплять сотрудничество и наращивать ресурсы для предотвращения будущих угроз, выразил благодарность за постоянную поддержку со стороны ЕС и подчеркнул значимость ОЗХО как ключевого инструмента глобального мира и безопасности во всем мире.</w:t>
      </w:r>
    </w:p>
    <w:p w14:paraId="1A4D32FC" w14:textId="3B945A23" w:rsidR="000F5092" w:rsidRPr="007A698E" w:rsidRDefault="00051FE3" w:rsidP="000F50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>В своем выступлении на конференции Высокий представитель ООН по вопросам разоружения Идзуми Накамицу подчеркнула ухудшение ситуации в сфере глобальной безопасности, характеризующееся ростом военных расходов, геополитической напряженностью и вызовами мультилатер</w:t>
      </w:r>
      <w:r w:rsidR="00B27922" w:rsidRPr="007A698E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t>изму. Она обратила внимание на опасность гонки ядерных вооружений и испытаний, призвав укреплять такие договоры, как ДНЯО и ДВЗЯИ. Накамицу также подчеркнула необходимость борьбы с биологическими угрозами, рассмотрения влияния новых технологий, таких как ИИ, и активизации усилий по гуманитарному разоружению. В заключение она высоко оценила приверженность ЕС многостороннему разоружению и призвала к сотрудничеству в целях смягчения нарастающих глобальных угроз.</w:t>
      </w:r>
    </w:p>
    <w:bookmarkEnd w:id="2"/>
    <w:p w14:paraId="69EC8227" w14:textId="601A39C9" w:rsidR="00F729F2" w:rsidRPr="007A698E" w:rsidRDefault="00F729F2" w:rsidP="00F729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>В своем заключительном слове Сибилла Бауэр, председатель Консорциума ЕС по нераспространению и разоружению, дала высокую оценку конструктивным дискуссиям на конференции, состоявшейся на фоне глобальной поляризации. Она указала на многогранные вызовы, подрывающие международную среду безопасности, подчеркнув настоятельную необходимость коллективных действий и более широкой направленности, выходящей за рамки ядерных вопросов, включая биологические, химические и технологические угрозы. Бауэр подчеркнула важность диалога между поколениями и вдохновляющих идей, которые могут предложить такие ориентированные на молодежь мероприятия, как семинар Консорциума «Следующее поколение» и программа наставничества. Она призвала обратиться к инновационному мышлению, постоянному взаимодействию и открытым диалоговым платформам для продвижения стратегических дискуссий по общим глобальным проблемам.</w:t>
      </w:r>
    </w:p>
    <w:p w14:paraId="73A532B7" w14:textId="77777777" w:rsidR="009F4E53" w:rsidRPr="007A698E" w:rsidRDefault="009F4E53" w:rsidP="009F4E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В ходе Конференции ЕС по нераспространению и разоружению в очередной раз было продемонстрировано, что она является центральным событием в международной дискуссии о будущем контроля над вооружениями, нераспространения и разоружения. Она также способствовала подтверждению твердой приверженности ЕС глобальному порядку, основанному на правилах, и продемонстрировала возросшую осведомленность о политике ЕС </w:t>
      </w:r>
      <w:r w:rsidRPr="007A698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области нераспространения и разоружения среди государственных должностных лиц, ученых и представителей гражданского общества третьих стран. Кроме того, в ходе дискуссии были рассмотрены новые пути и средства укрепления потенциала в регионах мира с ограниченным опытом противодействия угрозам, исходящим от СОЛВ, ОМУ и средств их доставки. Наконец, в этом году конференция вновь послужила форумом для освещения роли, которую играют европейские аналитические центры, специализирующиеся на вопросах нераспространения и разоружения, и усилий, предпринимаемых Консорциумом ЕС для продвижения и координации их работы. </w:t>
      </w:r>
    </w:p>
    <w:p w14:paraId="58E4414D" w14:textId="77777777" w:rsidR="009F4E53" w:rsidRPr="007A698E" w:rsidRDefault="009F4E53" w:rsidP="00F729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3174E4" w14:textId="77777777" w:rsidR="00F729F2" w:rsidRPr="007A698E" w:rsidRDefault="00F729F2" w:rsidP="00F729F2">
      <w:pPr>
        <w:spacing w:line="276" w:lineRule="auto"/>
        <w:ind w:left="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доступа к дополнительной информации и видеозаписям конференции посетите сайт Консорциума: </w:t>
      </w:r>
      <w:hyperlink r:id="rId11" w:history="1">
        <w:r w:rsidRPr="007A698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www.nonproliferation.eu</w:t>
        </w:r>
      </w:hyperlink>
      <w:r w:rsidRPr="007A69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5E48BD" w14:textId="77777777" w:rsidR="00F729F2" w:rsidRPr="007A698E" w:rsidRDefault="00F729F2" w:rsidP="00F729F2">
      <w:pPr>
        <w:spacing w:line="276" w:lineRule="auto"/>
        <w:jc w:val="both"/>
        <w:rPr>
          <w:sz w:val="40"/>
          <w:szCs w:val="40"/>
          <w:lang w:val="ru-RU"/>
        </w:rPr>
      </w:pPr>
    </w:p>
    <w:p w14:paraId="67194284" w14:textId="77777777" w:rsidR="00F729F2" w:rsidRPr="007A698E" w:rsidRDefault="00F729F2" w:rsidP="00F729F2">
      <w:pPr>
        <w:spacing w:line="276" w:lineRule="auto"/>
        <w:jc w:val="both"/>
        <w:rPr>
          <w:sz w:val="40"/>
          <w:szCs w:val="40"/>
          <w:lang w:val="ru-RU"/>
        </w:rPr>
      </w:pPr>
    </w:p>
    <w:p w14:paraId="4F19A336" w14:textId="77777777" w:rsidR="00F729F2" w:rsidRPr="007A698E" w:rsidRDefault="00F729F2" w:rsidP="00F729F2">
      <w:pPr>
        <w:spacing w:line="276" w:lineRule="auto"/>
        <w:jc w:val="both"/>
        <w:rPr>
          <w:sz w:val="40"/>
          <w:szCs w:val="40"/>
          <w:lang w:val="ru-RU"/>
        </w:rPr>
      </w:pPr>
    </w:p>
    <w:p w14:paraId="25971F9E" w14:textId="77777777" w:rsidR="00F729F2" w:rsidRPr="007A698E" w:rsidRDefault="00F729F2" w:rsidP="00F729F2">
      <w:pPr>
        <w:spacing w:line="276" w:lineRule="auto"/>
        <w:jc w:val="both"/>
        <w:rPr>
          <w:sz w:val="40"/>
          <w:szCs w:val="40"/>
          <w:lang w:val="ru-RU"/>
        </w:rPr>
      </w:pPr>
      <w:r w:rsidRPr="007A698E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4AC4BCD1" wp14:editId="788C7B5C">
            <wp:simplePos x="0" y="0"/>
            <wp:positionH relativeFrom="margin">
              <wp:align>center</wp:align>
            </wp:positionH>
            <wp:positionV relativeFrom="page">
              <wp:posOffset>9301924</wp:posOffset>
            </wp:positionV>
            <wp:extent cx="1113154" cy="815975"/>
            <wp:effectExtent l="0" t="0" r="0" b="3175"/>
            <wp:wrapNone/>
            <wp:docPr id="2003479257" name="Picture 2003479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4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4B170" w14:textId="77777777" w:rsidR="002476F8" w:rsidRPr="007A698E" w:rsidRDefault="002476F8">
      <w:pPr>
        <w:rPr>
          <w:lang w:val="ru-RU"/>
        </w:rPr>
      </w:pPr>
    </w:p>
    <w:sectPr w:rsidR="002476F8" w:rsidRPr="007A6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075F" w14:textId="77777777" w:rsidR="00132E69" w:rsidRDefault="00132E69" w:rsidP="00F729F2">
      <w:pPr>
        <w:spacing w:after="0" w:line="240" w:lineRule="auto"/>
      </w:pPr>
      <w:r>
        <w:separator/>
      </w:r>
    </w:p>
  </w:endnote>
  <w:endnote w:type="continuationSeparator" w:id="0">
    <w:p w14:paraId="479D7EC0" w14:textId="77777777" w:rsidR="00132E69" w:rsidRDefault="00132E69" w:rsidP="00F7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533F8" w14:textId="77777777" w:rsidR="00132E69" w:rsidRDefault="00132E69" w:rsidP="00F729F2">
      <w:pPr>
        <w:spacing w:after="0" w:line="240" w:lineRule="auto"/>
      </w:pPr>
      <w:r>
        <w:separator/>
      </w:r>
    </w:p>
  </w:footnote>
  <w:footnote w:type="continuationSeparator" w:id="0">
    <w:p w14:paraId="04A844F6" w14:textId="77777777" w:rsidR="00132E69" w:rsidRDefault="00132E69" w:rsidP="00F729F2">
      <w:pPr>
        <w:spacing w:after="0" w:line="240" w:lineRule="auto"/>
      </w:pPr>
      <w:r>
        <w:continuationSeparator/>
      </w:r>
    </w:p>
  </w:footnote>
  <w:footnote w:id="1">
    <w:p w14:paraId="76E5848B" w14:textId="77777777" w:rsidR="00F729F2" w:rsidRPr="000A3A4B" w:rsidRDefault="00F729F2" w:rsidP="00F729F2">
      <w:pPr>
        <w:pStyle w:val="FootnoteText"/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Доктор Мануэль Эррера — научный сотрудник программы «Многосторонние отношения и глобальное управление» в Институте международных отношений (IAI).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F2"/>
    <w:rsid w:val="000011B2"/>
    <w:rsid w:val="000029E7"/>
    <w:rsid w:val="0000734E"/>
    <w:rsid w:val="00051FE3"/>
    <w:rsid w:val="000D07D7"/>
    <w:rsid w:val="000D2DE3"/>
    <w:rsid w:val="000F22FC"/>
    <w:rsid w:val="000F5092"/>
    <w:rsid w:val="00114FDD"/>
    <w:rsid w:val="00132E69"/>
    <w:rsid w:val="001A2949"/>
    <w:rsid w:val="001A5B10"/>
    <w:rsid w:val="001C6B1F"/>
    <w:rsid w:val="00206734"/>
    <w:rsid w:val="00226C83"/>
    <w:rsid w:val="00235F23"/>
    <w:rsid w:val="002476F8"/>
    <w:rsid w:val="00257305"/>
    <w:rsid w:val="00257E54"/>
    <w:rsid w:val="002606D1"/>
    <w:rsid w:val="003301E5"/>
    <w:rsid w:val="003C6865"/>
    <w:rsid w:val="003F60D8"/>
    <w:rsid w:val="00421C34"/>
    <w:rsid w:val="00490125"/>
    <w:rsid w:val="004E11E4"/>
    <w:rsid w:val="00501A4E"/>
    <w:rsid w:val="005D3BEF"/>
    <w:rsid w:val="005F7B1B"/>
    <w:rsid w:val="006003C8"/>
    <w:rsid w:val="00611CF7"/>
    <w:rsid w:val="006611A3"/>
    <w:rsid w:val="00661911"/>
    <w:rsid w:val="006C2D72"/>
    <w:rsid w:val="00740EA4"/>
    <w:rsid w:val="007A698E"/>
    <w:rsid w:val="007B2554"/>
    <w:rsid w:val="007F6228"/>
    <w:rsid w:val="00844366"/>
    <w:rsid w:val="00904B93"/>
    <w:rsid w:val="009F3AF0"/>
    <w:rsid w:val="009F4E53"/>
    <w:rsid w:val="00A023F4"/>
    <w:rsid w:val="00A04023"/>
    <w:rsid w:val="00A34294"/>
    <w:rsid w:val="00A42D00"/>
    <w:rsid w:val="00AD66C2"/>
    <w:rsid w:val="00AE5B5C"/>
    <w:rsid w:val="00B27922"/>
    <w:rsid w:val="00B3042E"/>
    <w:rsid w:val="00BB5398"/>
    <w:rsid w:val="00BB7DE8"/>
    <w:rsid w:val="00BD02E8"/>
    <w:rsid w:val="00BE6404"/>
    <w:rsid w:val="00C3559F"/>
    <w:rsid w:val="00D1031D"/>
    <w:rsid w:val="00D10A2E"/>
    <w:rsid w:val="00D70B5A"/>
    <w:rsid w:val="00DE75CF"/>
    <w:rsid w:val="00E02AA5"/>
    <w:rsid w:val="00E05BCE"/>
    <w:rsid w:val="00E071DA"/>
    <w:rsid w:val="00E075C8"/>
    <w:rsid w:val="00E823DC"/>
    <w:rsid w:val="00E830B7"/>
    <w:rsid w:val="00EE6F38"/>
    <w:rsid w:val="00F729F2"/>
    <w:rsid w:val="00FA2064"/>
    <w:rsid w:val="00FC7696"/>
    <w:rsid w:val="00FF48BC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8390"/>
  <w15:chartTrackingRefBased/>
  <w15:docId w15:val="{F7A5B69A-A091-4183-BD33-D65233D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29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9F2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29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29F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729F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2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9F2"/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61911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6C83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E5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LEGISSUM:l332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nproliferation.eu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onproliferation.e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eas.europa.eu/headquarters/headquarters-homepage_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ta.consilium.europa.eu/doc/document/ST-13581-2018-INIT/en/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Herrera</dc:creator>
  <cp:keywords/>
  <dc:description/>
  <cp:lastModifiedBy>LSB</cp:lastModifiedBy>
  <cp:revision>2</cp:revision>
  <dcterms:created xsi:type="dcterms:W3CDTF">2025-03-24T11:22:00Z</dcterms:created>
  <dcterms:modified xsi:type="dcterms:W3CDTF">2025-03-24T11:22:00Z</dcterms:modified>
</cp:coreProperties>
</file>